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="http://schemas.openxmlformats.org/wordprocessingml/2006/main">
  <w:body>
    <w:p>
      <w:pPr>
        <w:spacing w:line="240" w:lineRule="auto"/>
        <w:ind w:left="142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</w:rPr>
        <w:t>МБОУ "Малокарзинская ООШ"</w:t>
      </w:r>
      <w:r>
        <w:rPr>
          <w:rFonts w:ascii="Times New Roman" w:cs="Times New Roman" w:hAnsi="Times New Roman"/>
          <w:sz w:val="24"/>
          <w:szCs w:val="24"/>
        </w:rPr>
        <w:t xml:space="preserve">, </w:t>
      </w:r>
      <w:r>
        <w:rPr>
          <w:rFonts w:ascii="Times New Roman" w:cs="Times New Roman" w:hAnsi="Times New Roman"/>
          <w:b/>
          <w:sz w:val="24"/>
          <w:szCs w:val="24"/>
        </w:rPr>
        <w:t xml:space="preserve">ИНН </w:t>
      </w:r>
      <w:r>
        <w:rPr>
          <w:rFonts w:ascii="Times New Roman" w:cs="Times New Roman" w:hAnsi="Times New Roman"/>
          <w:b/>
          <w:sz w:val="24"/>
          <w:szCs w:val="24"/>
        </w:rPr>
        <w:t>6636005608</w:t>
      </w:r>
    </w:p>
    <w:p>
      <w:pPr>
        <w:spacing w:line="240" w:lineRule="auto"/>
        <w:ind w:left="142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Предмет исследования: Качество условий образовательной деятельности организации на основе общедоступной информации в соответствии с общими критериями, установленными Федеральным законом «Об образовании в Российской Федерации» от 29.12.2012 г. № 273.</w:t>
      </w:r>
    </w:p>
    <w:p>
      <w:pPr>
        <w:spacing w:line="240" w:lineRule="auto"/>
        <w:ind w:left="142"/>
        <w:jc w:val="center"/>
        <w:rPr>
          <w:rFonts w:ascii="Times New Roman" w:cs="Times New Roman" w:hAnsi="Times New Roman"/>
          <w:i/>
          <w:sz w:val="24"/>
          <w:szCs w:val="24"/>
        </w:rPr>
      </w:pPr>
      <w:r>
        <w:rPr>
          <w:rFonts w:ascii="Times New Roman" w:cs="Times New Roman" w:hAnsi="Times New Roman"/>
          <w:i/>
          <w:sz w:val="24"/>
          <w:szCs w:val="24"/>
        </w:rPr>
        <w:t>Результаты независимой оценки качества образовательной деятельности организации, осуществляющей образовательную деятельность.</w:t>
      </w:r>
    </w:p>
    <w:p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Общее количество опрошенных составляет - </w:t>
      </w:r>
      <w:r>
        <w:rPr>
          <w:rFonts w:ascii="Times New Roman" w:cs="Times New Roman" w:hAnsi="Times New Roman"/>
          <w:b/>
          <w:sz w:val="24"/>
          <w:szCs w:val="24"/>
        </w:rPr>
        <w:t>45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 xml:space="preserve">чел., из них родители (законные представители) - </w:t>
      </w:r>
      <w:r>
        <w:rPr>
          <w:rFonts w:ascii="Times New Roman" w:cs="Times New Roman" w:hAnsi="Times New Roman"/>
          <w:b/>
          <w:sz w:val="24"/>
          <w:szCs w:val="24"/>
        </w:rPr>
        <w:t xml:space="preserve"> </w:t>
      </w:r>
      <w:r>
        <w:rPr>
          <w:rFonts w:ascii="Times New Roman" w:cs="Times New Roman" w:hAnsi="Times New Roman"/>
          <w:b/>
          <w:sz w:val="24"/>
          <w:szCs w:val="24"/>
        </w:rPr>
        <w:t>40</w:t>
      </w:r>
      <w:r>
        <w:rPr>
          <w:rFonts w:ascii="Times New Roman" w:cs="Times New Roman" w:hAnsi="Times New Roman"/>
          <w:sz w:val="24"/>
          <w:szCs w:val="24"/>
        </w:rPr>
        <w:t xml:space="preserve"> чел.; обучающиеся старше 14 лет - </w:t>
      </w:r>
      <w:r>
        <w:rPr>
          <w:rFonts w:ascii="Times New Roman" w:cs="Times New Roman" w:hAnsi="Times New Roman"/>
          <w:b/>
          <w:sz w:val="24"/>
          <w:szCs w:val="24"/>
        </w:rPr>
        <w:t>5</w:t>
      </w:r>
      <w:r>
        <w:rPr>
          <w:rFonts w:ascii="Times New Roman" w:cs="Times New Roman" w:hAnsi="Times New Roman"/>
          <w:sz w:val="24"/>
          <w:szCs w:val="24"/>
        </w:rPr>
        <w:t xml:space="preserve"> чел.</w:t>
      </w:r>
    </w:p>
    <w:p>
      <w:p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В ходе проведенной независимой оценки качества условий оказания образовательной деятельности были получены следующие результаты: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</w:p>
    <w:p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открытости и доступности информации об организациях, осуществляющих образовательную деятельность, составляет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b/>
          <w:sz w:val="24"/>
          <w:szCs w:val="24"/>
        </w:rPr>
        <w:t>28,57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>балла</w:t>
      </w:r>
      <w:r>
        <w:rPr>
          <w:rStyle w:val="Footnotereference"/>
          <w:rFonts w:ascii="Times New Roman" w:cs="Times New Roman" w:hAnsi="Times New Roman"/>
          <w:sz w:val="24"/>
          <w:szCs w:val="24"/>
        </w:rPr>
        <w:footnoteReference w:id="0"/>
      </w:r>
      <w:r>
        <w:rPr>
          <w:rFonts w:ascii="Times New Roman" w:cs="Times New Roman" w:hAnsi="Times New Roman"/>
          <w:sz w:val="24"/>
          <w:szCs w:val="24"/>
        </w:rPr>
        <w:t xml:space="preserve">, </w:t>
      </w:r>
    </w:p>
    <w:p>
      <w:pPr>
        <w:spacing w:line="240" w:lineRule="auto"/>
        <w:jc w:val="both"/>
        <w:rPr>
          <w:rFonts w:ascii="Times New Roman" w:cs="Times New Roman" w:hAnsi="Times New Roman"/>
          <w:i/>
          <w:sz w:val="24"/>
          <w:szCs w:val="24"/>
        </w:rPr>
      </w:pPr>
      <w:r>
        <w:rPr>
          <w:rFonts w:ascii="Times New Roman" w:cs="Times New Roman" w:hAnsi="Times New Roman"/>
          <w:i/>
          <w:sz w:val="24"/>
          <w:szCs w:val="24"/>
        </w:rPr>
        <w:t>в том числе по показателям:</w:t>
      </w:r>
      <w:r>
        <w:rPr>
          <w:rFonts w:ascii="Times New Roman" w:cs="Times New Roman" w:hAnsi="Times New Roman"/>
          <w:i/>
          <w:sz w:val="24"/>
          <w:szCs w:val="24"/>
        </w:rPr>
        <w:tab/>
      </w:r>
      <w:r>
        <w:rPr>
          <w:rFonts w:ascii="Times New Roman" w:cs="Times New Roman" w:hAnsi="Times New Roman"/>
          <w:i/>
          <w:sz w:val="24"/>
          <w:szCs w:val="24"/>
        </w:rPr>
        <w:tab/>
      </w:r>
    </w:p>
    <w:p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полнота и актуальность информации об организации, осуществляющей образовательную деятельность, размещенной на официальном сайте организации в сети «Интернет»</w:t>
      </w:r>
      <w:r>
        <w:rPr>
          <w:rFonts w:ascii="Times New Roman" w:cs="Times New Roman" w:hAnsi="Times New Roman"/>
          <w:sz w:val="24"/>
          <w:szCs w:val="24"/>
        </w:rPr>
        <w:t xml:space="preserve"> -</w:t>
      </w:r>
      <w:r>
        <w:rPr>
          <w:rFonts w:ascii="Times New Roman" w:cs="Times New Roman" w:hAnsi="Times New Roman"/>
          <w:b/>
          <w:sz w:val="24"/>
          <w:szCs w:val="24"/>
        </w:rPr>
        <w:t xml:space="preserve"> </w:t>
      </w:r>
      <w:r>
        <w:rPr>
          <w:rFonts w:ascii="Times New Roman" w:cs="Times New Roman" w:hAnsi="Times New Roman"/>
          <w:b/>
          <w:sz w:val="24"/>
          <w:szCs w:val="24"/>
        </w:rPr>
        <w:t>9,41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>балла;</w:t>
      </w:r>
    </w:p>
    <w:p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наличие на официальном сайте организации в сети Интернет сведений о педагогических работниках организации</w:t>
      </w:r>
      <w:r>
        <w:rPr>
          <w:rFonts w:ascii="Times New Roman" w:cs="Times New Roman" w:hAnsi="Times New Roman"/>
          <w:sz w:val="24"/>
          <w:szCs w:val="24"/>
        </w:rPr>
        <w:t xml:space="preserve"> -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b/>
          <w:sz w:val="24"/>
          <w:szCs w:val="24"/>
        </w:rPr>
        <w:t>8,85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>балла;</w:t>
      </w:r>
    </w:p>
    <w:p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доступность взаимодействия с образовательной организацией по телефону, электронной почте, с помощью электронных сервисов, предоставляемых на официальном сайте организации в сети интернет, в том числе наличие возможности внесения предложений, направленных на улучшение работы организации </w:t>
      </w:r>
      <w:r>
        <w:rPr>
          <w:rFonts w:ascii="Times New Roman" w:cs="Times New Roman" w:hAnsi="Times New Roman"/>
          <w:sz w:val="24"/>
          <w:szCs w:val="24"/>
        </w:rPr>
        <w:t xml:space="preserve">- </w:t>
      </w:r>
      <w:r>
        <w:rPr>
          <w:rFonts w:ascii="Times New Roman" w:cs="Times New Roman" w:hAnsi="Times New Roman"/>
          <w:b/>
          <w:sz w:val="24"/>
          <w:szCs w:val="24"/>
        </w:rPr>
        <w:t>6,91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>балла;</w:t>
      </w:r>
    </w:p>
    <w:p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доступность сведений о ходе рассмотрения обращений, поступивших от заинтересованных граждан (по телефону, электронной почте, с помощью электронных сервисов, доступных на официальном сайте организации) </w:t>
      </w:r>
      <w:r>
        <w:rPr>
          <w:rFonts w:ascii="Times New Roman" w:cs="Times New Roman" w:hAnsi="Times New Roman"/>
          <w:sz w:val="24"/>
          <w:szCs w:val="24"/>
        </w:rPr>
        <w:t xml:space="preserve">- </w:t>
      </w:r>
      <w:r>
        <w:rPr>
          <w:rFonts w:ascii="Times New Roman" w:cs="Times New Roman" w:hAnsi="Times New Roman"/>
          <w:b/>
          <w:sz w:val="24"/>
          <w:szCs w:val="24"/>
        </w:rPr>
        <w:t>3,4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>балла</w:t>
      </w:r>
    </w:p>
    <w:p>
      <w:pPr>
        <w:pStyle w:val="ListParagraph"/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</w:p>
    <w:p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комфортности условий, в которых осуществляется образовател</w:t>
      </w:r>
      <w:r>
        <w:rPr>
          <w:rFonts w:ascii="Times New Roman" w:cs="Times New Roman" w:hAnsi="Times New Roman"/>
          <w:sz w:val="24"/>
          <w:szCs w:val="24"/>
        </w:rPr>
        <w:t xml:space="preserve">ьная деятельность, составляет </w:t>
      </w:r>
      <w:r>
        <w:rPr>
          <w:rFonts w:ascii="Times New Roman" w:cs="Times New Roman" w:hAnsi="Times New Roman"/>
          <w:b/>
          <w:sz w:val="24"/>
          <w:szCs w:val="24"/>
        </w:rPr>
        <w:t>39,65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>балла</w:t>
      </w:r>
      <w:r>
        <w:rPr>
          <w:rStyle w:val="Footnotereference"/>
          <w:rFonts w:ascii="Times New Roman" w:cs="Times New Roman" w:hAnsi="Times New Roman"/>
          <w:sz w:val="24"/>
          <w:szCs w:val="24"/>
        </w:rPr>
        <w:footnoteReference w:id="1"/>
      </w:r>
    </w:p>
    <w:p>
      <w:pPr>
        <w:spacing w:line="240" w:lineRule="auto"/>
        <w:jc w:val="both"/>
        <w:rPr>
          <w:rFonts w:ascii="Times New Roman" w:cs="Times New Roman" w:hAnsi="Times New Roman"/>
          <w:i/>
          <w:sz w:val="24"/>
          <w:szCs w:val="24"/>
        </w:rPr>
      </w:pPr>
      <w:r>
        <w:rPr>
          <w:rFonts w:ascii="Times New Roman" w:cs="Times New Roman" w:hAnsi="Times New Roman"/>
          <w:i/>
          <w:sz w:val="24"/>
          <w:szCs w:val="24"/>
        </w:rPr>
        <w:t xml:space="preserve"> в том числе по показателям:</w:t>
      </w:r>
      <w:r>
        <w:rPr>
          <w:rFonts w:ascii="Times New Roman" w:cs="Times New Roman" w:hAnsi="Times New Roman"/>
          <w:i/>
          <w:sz w:val="24"/>
          <w:szCs w:val="24"/>
        </w:rPr>
        <w:tab/>
      </w:r>
      <w:r>
        <w:rPr>
          <w:rFonts w:ascii="Times New Roman" w:cs="Times New Roman" w:hAnsi="Times New Roman"/>
          <w:i/>
          <w:sz w:val="24"/>
          <w:szCs w:val="24"/>
        </w:rPr>
        <w:tab/>
      </w:r>
    </w:p>
    <w:p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материально-техническое и информационное обеспечение организации оценивается по результатам анализа материалов самообследования или данных, представленных на сайте образовательной организации в сравнении со средним по городу (региону) </w:t>
      </w:r>
      <w:r>
        <w:rPr>
          <w:rFonts w:ascii="Times New Roman" w:cs="Times New Roman" w:hAnsi="Times New Roman"/>
          <w:sz w:val="24"/>
          <w:szCs w:val="24"/>
        </w:rPr>
        <w:t xml:space="preserve">- </w:t>
      </w:r>
      <w:r>
        <w:rPr>
          <w:rFonts w:ascii="Times New Roman" w:cs="Times New Roman" w:hAnsi="Times New Roman"/>
          <w:b/>
          <w:sz w:val="24"/>
          <w:szCs w:val="24"/>
        </w:rPr>
        <w:t>6,47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>балла</w:t>
      </w:r>
    </w:p>
    <w:p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наличие необходимых условий для охраны и укрепления здоровья, организации питания обучающихся –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b/>
          <w:sz w:val="24"/>
          <w:szCs w:val="24"/>
        </w:rPr>
        <w:t>6,67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>балла</w:t>
      </w:r>
    </w:p>
    <w:p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условия для индивидуальной работы с обучающимися –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b/>
          <w:sz w:val="24"/>
          <w:szCs w:val="24"/>
        </w:rPr>
        <w:t>4,54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>балла</w:t>
      </w:r>
    </w:p>
    <w:p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наличие дополнительных образовательных программ –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b/>
          <w:sz w:val="24"/>
          <w:szCs w:val="24"/>
        </w:rPr>
        <w:t>6,35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>балла</w:t>
      </w:r>
    </w:p>
    <w:p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наличие возможности развития творческих способностей и интересов обучающихся, включая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мероприятиях, в том числе в официальных спортивных соревнованиях, и други</w:t>
      </w:r>
      <w:r>
        <w:rPr>
          <w:rFonts w:ascii="Times New Roman" w:cs="Times New Roman" w:hAnsi="Times New Roman"/>
          <w:sz w:val="24"/>
          <w:szCs w:val="24"/>
        </w:rPr>
        <w:t xml:space="preserve">х массовых мероприятиях – </w:t>
      </w:r>
      <w:r>
        <w:rPr>
          <w:rFonts w:ascii="Times New Roman" w:cs="Times New Roman" w:hAnsi="Times New Roman"/>
          <w:b/>
          <w:sz w:val="24"/>
          <w:szCs w:val="24"/>
        </w:rPr>
        <w:t>5,13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>балла</w:t>
      </w:r>
    </w:p>
    <w:p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наличие возможности оказания обучающимся психолого-педагогической, мед</w:t>
      </w:r>
      <w:r>
        <w:rPr>
          <w:rFonts w:ascii="Times New Roman" w:cs="Times New Roman" w:hAnsi="Times New Roman"/>
          <w:sz w:val="24"/>
          <w:szCs w:val="24"/>
        </w:rPr>
        <w:t xml:space="preserve">ицинской и социальной помощи – </w:t>
      </w:r>
      <w:r>
        <w:rPr>
          <w:rFonts w:ascii="Times New Roman" w:cs="Times New Roman" w:hAnsi="Times New Roman"/>
          <w:b/>
          <w:sz w:val="24"/>
          <w:szCs w:val="24"/>
        </w:rPr>
        <w:t>4,36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>балла</w:t>
      </w:r>
    </w:p>
    <w:p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наличие условий организации обучения и воспитания обучающихся с ограниченными возможностями здоровья и инвалидов –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b/>
          <w:sz w:val="24"/>
          <w:szCs w:val="24"/>
        </w:rPr>
        <w:t>6,13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>балла</w:t>
      </w:r>
    </w:p>
    <w:p>
      <w:pPr>
        <w:pStyle w:val="ListParagraph"/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</w:p>
    <w:p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доброжелательности, вежливости, компетен</w:t>
      </w:r>
      <w:r>
        <w:rPr>
          <w:rFonts w:ascii="Times New Roman" w:cs="Times New Roman" w:hAnsi="Times New Roman"/>
          <w:sz w:val="24"/>
          <w:szCs w:val="24"/>
        </w:rPr>
        <w:t xml:space="preserve">тности работников, составляет </w:t>
      </w:r>
      <w:r>
        <w:rPr>
          <w:rFonts w:ascii="Times New Roman" w:cs="Times New Roman" w:hAnsi="Times New Roman"/>
          <w:b/>
          <w:sz w:val="24"/>
          <w:szCs w:val="24"/>
        </w:rPr>
        <w:t>15,84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>балла</w:t>
      </w:r>
    </w:p>
    <w:p>
      <w:pPr>
        <w:spacing w:line="240" w:lineRule="auto"/>
        <w:jc w:val="both"/>
        <w:rPr>
          <w:rFonts w:ascii="Times New Roman" w:cs="Times New Roman" w:hAnsi="Times New Roman"/>
          <w:i/>
          <w:sz w:val="24"/>
          <w:szCs w:val="24"/>
        </w:rPr>
      </w:pPr>
      <w:r>
        <w:rPr>
          <w:rFonts w:ascii="Times New Roman" w:cs="Times New Roman" w:hAnsi="Times New Roman"/>
          <w:i/>
          <w:sz w:val="24"/>
          <w:szCs w:val="24"/>
        </w:rPr>
        <w:t>в том числе по показателям:</w:t>
      </w:r>
      <w:r>
        <w:rPr>
          <w:rFonts w:ascii="Times New Roman" w:cs="Times New Roman" w:hAnsi="Times New Roman"/>
          <w:i/>
          <w:sz w:val="24"/>
          <w:szCs w:val="24"/>
        </w:rPr>
        <w:tab/>
      </w:r>
      <w:r>
        <w:rPr>
          <w:rFonts w:ascii="Times New Roman" w:cs="Times New Roman" w:hAnsi="Times New Roman"/>
          <w:i/>
          <w:sz w:val="24"/>
          <w:szCs w:val="24"/>
        </w:rPr>
        <w:tab/>
      </w:r>
    </w:p>
    <w:p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доля получателей образовательных услуг, положительно оценивающих доброжелательность и вежливость работников организации от общего числа опрошенных получа</w:t>
      </w:r>
      <w:r>
        <w:rPr>
          <w:rFonts w:ascii="Times New Roman" w:cs="Times New Roman" w:hAnsi="Times New Roman"/>
          <w:sz w:val="24"/>
          <w:szCs w:val="24"/>
        </w:rPr>
        <w:t xml:space="preserve">телей образовательных услуг – </w:t>
      </w:r>
      <w:r>
        <w:rPr>
          <w:rFonts w:ascii="Times New Roman" w:cs="Times New Roman" w:hAnsi="Times New Roman"/>
          <w:b/>
          <w:sz w:val="24"/>
          <w:szCs w:val="24"/>
        </w:rPr>
        <w:t>7,98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>балла</w:t>
      </w:r>
    </w:p>
    <w:p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доля получателей образовательных услуг, удовлетворенных компетентностью работников организации, от общего числа опрошенных получа</w:t>
      </w:r>
      <w:r>
        <w:rPr>
          <w:rFonts w:ascii="Times New Roman" w:cs="Times New Roman" w:hAnsi="Times New Roman"/>
          <w:sz w:val="24"/>
          <w:szCs w:val="24"/>
        </w:rPr>
        <w:t>телей образовательных услуг –</w:t>
      </w:r>
      <w:r>
        <w:rPr>
          <w:rFonts w:ascii="Times New Roman" w:cs="Times New Roman" w:hAnsi="Times New Roman"/>
          <w:b/>
          <w:sz w:val="24"/>
          <w:szCs w:val="24"/>
        </w:rPr>
        <w:t xml:space="preserve"> </w:t>
      </w:r>
      <w:r>
        <w:rPr>
          <w:rFonts w:ascii="Times New Roman" w:cs="Times New Roman" w:hAnsi="Times New Roman"/>
          <w:b/>
          <w:sz w:val="24"/>
          <w:szCs w:val="24"/>
        </w:rPr>
        <w:t>7,86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>балла</w:t>
      </w:r>
    </w:p>
    <w:p>
      <w:pPr>
        <w:pStyle w:val="ListParagraph"/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</w:p>
    <w:p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удовлетворенности качеством образовательной деятел</w:t>
      </w:r>
      <w:r>
        <w:rPr>
          <w:rFonts w:ascii="Times New Roman" w:cs="Times New Roman" w:hAnsi="Times New Roman"/>
          <w:sz w:val="24"/>
          <w:szCs w:val="24"/>
        </w:rPr>
        <w:t xml:space="preserve">ьности организаций, составляет </w:t>
      </w:r>
      <w:r>
        <w:rPr>
          <w:rFonts w:ascii="Times New Roman" w:cs="Times New Roman" w:hAnsi="Times New Roman"/>
          <w:b/>
          <w:sz w:val="24"/>
          <w:szCs w:val="24"/>
        </w:rPr>
        <w:t>21,67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>балла</w:t>
      </w:r>
    </w:p>
    <w:p>
      <w:pPr>
        <w:spacing w:line="240" w:lineRule="auto"/>
        <w:jc w:val="both"/>
        <w:rPr>
          <w:rFonts w:ascii="Times New Roman" w:cs="Times New Roman" w:hAnsi="Times New Roman"/>
          <w:i/>
          <w:sz w:val="24"/>
          <w:szCs w:val="24"/>
        </w:rPr>
      </w:pPr>
      <w:r>
        <w:rPr>
          <w:rFonts w:ascii="Times New Roman" w:cs="Times New Roman" w:hAnsi="Times New Roman"/>
          <w:i/>
          <w:sz w:val="24"/>
          <w:szCs w:val="24"/>
        </w:rPr>
        <w:t>в том числе по показателям:</w:t>
      </w:r>
      <w:r>
        <w:rPr>
          <w:rFonts w:ascii="Times New Roman" w:cs="Times New Roman" w:hAnsi="Times New Roman"/>
          <w:i/>
          <w:sz w:val="24"/>
          <w:szCs w:val="24"/>
        </w:rPr>
        <w:tab/>
      </w:r>
    </w:p>
    <w:p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доля получателей образовательных услуг, удовлетворенных материально-техническим обеспечением организации, от общего числа опрошенных получа</w:t>
      </w:r>
      <w:r>
        <w:rPr>
          <w:rFonts w:ascii="Times New Roman" w:cs="Times New Roman" w:hAnsi="Times New Roman"/>
          <w:sz w:val="24"/>
          <w:szCs w:val="24"/>
        </w:rPr>
        <w:t xml:space="preserve">телей образовательных услуг – </w:t>
      </w:r>
      <w:r>
        <w:rPr>
          <w:rFonts w:ascii="Times New Roman" w:cs="Times New Roman" w:hAnsi="Times New Roman"/>
          <w:b/>
          <w:sz w:val="24"/>
          <w:szCs w:val="24"/>
        </w:rPr>
        <w:t>6,43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>балла</w:t>
      </w:r>
    </w:p>
    <w:p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доля получателей образовательных услуг, удовлетворенных качеством предоставляемых образовательных услуг, от общего числа опрошенных получ</w:t>
      </w:r>
      <w:r>
        <w:rPr>
          <w:rFonts w:ascii="Times New Roman" w:cs="Times New Roman" w:hAnsi="Times New Roman"/>
          <w:sz w:val="24"/>
          <w:szCs w:val="24"/>
        </w:rPr>
        <w:t xml:space="preserve">ателей образовательных услуг – </w:t>
      </w:r>
      <w:r>
        <w:rPr>
          <w:rFonts w:ascii="Times New Roman" w:cs="Times New Roman" w:hAnsi="Times New Roman"/>
          <w:b/>
          <w:sz w:val="24"/>
          <w:szCs w:val="24"/>
        </w:rPr>
        <w:t>7,74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>балла</w:t>
      </w:r>
    </w:p>
    <w:p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доля получателей образовательных услуг, которые готовы рекомендовать организацию родственникам и знакомым, от общего числа опрошенных получа</w:t>
      </w:r>
      <w:r>
        <w:rPr>
          <w:rFonts w:ascii="Times New Roman" w:cs="Times New Roman" w:hAnsi="Times New Roman"/>
          <w:sz w:val="24"/>
          <w:szCs w:val="24"/>
        </w:rPr>
        <w:t xml:space="preserve">телей образовательных услуг – </w:t>
      </w:r>
      <w:r>
        <w:rPr>
          <w:rFonts w:ascii="Times New Roman" w:cs="Times New Roman" w:hAnsi="Times New Roman"/>
          <w:b/>
          <w:sz w:val="24"/>
          <w:szCs w:val="24"/>
        </w:rPr>
        <w:t>7,5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>балла</w:t>
      </w:r>
      <w:r>
        <w:rPr>
          <w:rFonts w:ascii="Times New Roman" w:cs="Times New Roman" w:hAnsi="Times New Roman"/>
          <w:sz w:val="24"/>
          <w:szCs w:val="24"/>
        </w:rPr>
        <w:t>.</w:t>
      </w:r>
    </w:p>
    <w:p>
      <w:pPr>
        <w:pStyle w:val="ListParagraph"/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</w:p>
    <w:p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Выводные положения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</w:p>
    <w:p>
      <w:p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Расчет итогового значения интегрального показателя качества условий оказания образовательной деятельности представляет собой сумму интегральных значений показателей по 4 группам, произведен по формуле: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</w:p>
    <w:p>
      <w:p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  <w:lang w:eastAsia="ru-RU"/>
        </w:rPr>
        <w:drawing>
          <wp:anchor distT="0" distB="0" distL="114300" distR="114300" simplePos="0" relativeHeight="1" behindDoc="0" locked="0" layoutInCell="1" allowOverlap="1">
            <wp:simplePos x="0" y="0"/>
            <wp:positionH relativeFrom="column">
              <wp:posOffset>1334135</wp:posOffset>
            </wp:positionH>
            <wp:positionV relativeFrom="paragraph">
              <wp:posOffset>1905</wp:posOffset>
            </wp:positionV>
            <wp:extent cx="1800225" cy="25908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a:uri="http://schemas.openxmlformats.org/drawingml/2006/picture">
                <pic:pic xmlns:pic="http://schemas.openxmlformats.org/drawingml/2006/picture">
                  <pic:nvPicPr>
                    <pic:cNvPr id="0" name="picture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800225" cy="259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</w:p>
    <w:p>
      <w:p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</w:p>
    <w:p>
      <w:p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и составляет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b/>
          <w:sz w:val="24"/>
          <w:szCs w:val="24"/>
        </w:rPr>
        <w:t>105,73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>балла.</w:t>
      </w:r>
    </w:p>
    <w:p>
      <w:p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Среднее (нормированное по числу показателей) значение интегрального показателя рассчитано по формуле: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</w:p>
    <w:p>
      <w:p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  <w:lang w:eastAsia="ru-RU"/>
        </w:rPr>
        <w:drawing>
          <wp:anchor distT="0" distB="0" distL="114300" distR="114300" simplePos="0" relativeHeight="2" behindDoc="0" locked="0" layoutInCell="1" allowOverlap="1">
            <wp:simplePos x="0" y="0"/>
            <wp:positionH relativeFrom="column">
              <wp:posOffset>1448435</wp:posOffset>
            </wp:positionH>
            <wp:positionV relativeFrom="paragraph">
              <wp:posOffset>111760</wp:posOffset>
            </wp:positionV>
            <wp:extent cx="1732280" cy="19431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a:uri="http://schemas.openxmlformats.org/drawingml/2006/picture">
                <pic:pic xmlns:pic="http://schemas.openxmlformats.org/drawingml/2006/picture">
                  <pic:nvPicPr>
                    <pic:cNvPr id="0" name="picture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732280" cy="1943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</w:p>
    <w:p>
      <w:p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</w:p>
    <w:p>
      <w:p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и составляет </w:t>
      </w:r>
      <w:r>
        <w:rPr>
          <w:rFonts w:ascii="Times New Roman" w:cs="Times New Roman" w:hAnsi="Times New Roman"/>
          <w:b/>
          <w:sz w:val="24"/>
          <w:szCs w:val="24"/>
        </w:rPr>
        <w:t>6,61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>балла.</w:t>
      </w:r>
    </w:p>
    <w:p>
      <w:p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В целом по образовательной организации удовлетворенность получателей образовательных услуг качеством условий образовательной деятельности соответствует оценке </w:t>
      </w:r>
      <w:r>
        <w:rPr>
          <w:rFonts w:ascii="Times New Roman" w:cs="Times New Roman" w:hAnsi="Times New Roman"/>
          <w:b/>
          <w:sz w:val="24"/>
          <w:szCs w:val="24"/>
        </w:rPr>
        <w:t>«</w:t>
      </w:r>
      <w:r>
        <w:rPr>
          <w:rFonts w:ascii="Times New Roman" w:cs="Times New Roman" w:hAnsi="Times New Roman"/>
          <w:b/>
          <w:sz w:val="24"/>
          <w:szCs w:val="24"/>
        </w:rPr>
        <w:t>Хорошо</w:t>
      </w:r>
      <w:r>
        <w:rPr>
          <w:rFonts w:ascii="Times New Roman" w:cs="Times New Roman" w:hAnsi="Times New Roman"/>
          <w:b/>
          <w:sz w:val="24"/>
          <w:szCs w:val="24"/>
        </w:rPr>
        <w:t>».</w:t>
      </w:r>
    </w:p>
    <w:p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Рекомендации для ОО:</w:t>
      </w:r>
    </w:p>
    <w:p>
      <w:pPr>
        <w:pStyle w:val="ListParagraph"/>
        <w:spacing w:line="240" w:lineRule="auto"/>
        <w:ind w:left="502"/>
        <w:jc w:val="both"/>
        <w:rPr>
          <w:rFonts w:ascii="Times New Roman" w:cs="Times New Roman" w:hAnsi="Times New Roman"/>
          <w:sz w:val="24"/>
          <w:szCs w:val="24"/>
        </w:rPr>
      </w:pPr>
    </w:p>
    <w:p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Поддерживать состояние официального сайта ОО на прежнем уровне.</w:t>
      </w:r>
    </w:p>
    <w:p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Поддерживать актуальную информацию о педагогических работниках на официальном сайте ОО.</w:t>
      </w:r>
    </w:p>
    <w:p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Рассмотреть техническую возможность размещения на официальном сайте ОО онлайн опросов.</w:t>
      </w:r>
    </w:p>
    <w:p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Создать систему взаимодействия с потребителями образовательных услуг. Реализовать прием обращений и информирование о ходе рассмотрения обращений, используя электронную почту, телефон и электронные ресурсы на официальном сайте ОО.</w:t>
      </w:r>
    </w:p>
    <w:p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Назначить ответственного за размещение на официальном сайте ОО актутальной информации о материально-техническом и информационном обеспечении образовательного процесса.</w:t>
      </w:r>
    </w:p>
    <w:p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Обеспечить отсутствие предписаний надзорных органов по вопросам организации питания, обеспечить безопасность субъектов образовательных отношений.</w:t>
      </w:r>
    </w:p>
    <w:p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Разработать план мероприятий по созданию условий для получения образования в рамках сетевой формы (интернет) реализации образовательных программ, а также с применением дистанционных образовательных программ.</w:t>
      </w:r>
    </w:p>
    <w:p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Разработать план мероприятий по внедрению дополнительных образовательных программ в ОО.</w:t>
      </w:r>
    </w:p>
    <w:p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Улучшать условия по развитию творческих способностей и интересов обучающихся на  всероссийских и международных уровнях.</w:t>
      </w:r>
    </w:p>
    <w:p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Разработать план мероприятий по оказанию различных видов помощи (психолого-педагогической, медицинской и социальной).</w:t>
      </w:r>
    </w:p>
    <w:p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Разработать план мероприятий по созданию  оборудованных пандусов, специализированной мебели, столов, колясок, перил, поручней, специализированного сантехнического оборудования.</w:t>
      </w:r>
    </w:p>
    <w:p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Поддерживать на прежнем уровне работу по повышению доброжелательности и вежливости работников ОО.</w:t>
      </w:r>
    </w:p>
    <w:p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Поддерживать на прежнем уровне работу по повышению компетентности работников ОО.</w:t>
      </w:r>
    </w:p>
    <w:p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Продолжать совершенствовать материально-техническое состояние ОО.</w:t>
      </w:r>
    </w:p>
    <w:p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Поддерживать на прежнем уровне качество предоставляемых образовательных услуг.</w:t>
      </w:r>
    </w:p>
    <w:p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  <w:sectPr>
          <w:footnotePr>
            <w:pos w:val="docEnd"/>
            <w:numFmt w:val="lowerRoman"/>
            <w:numRestart w:val="eachPage"/>
          </w:footnotePr>
          <w:pgSz w:w="11906" w:h="16838"/>
          <w:pgMar w:top="1134" w:right="850" w:bottom="1134" w:left="1701" w:header="708" w:footer="708" w:gutter="0"/>
          <w:cols w:space="708"/>
        </w:sectPr>
      </w:pPr>
      <w:r>
        <w:rPr>
          <w:rFonts w:ascii="Times New Roman" w:cs="Times New Roman" w:hAnsi="Times New Roman"/>
          <w:sz w:val="24"/>
          <w:szCs w:val="24"/>
        </w:rPr>
        <w:t>Поддерживать на прежнем уровне образовательную деятельность и качество предоставляемых образовательных услуг для сохранения имиджа ОО.</w:t>
      </w:r>
    </w:p>
    <w:p/>
    <w:p/>
    <w:p>
      <w:pPr>
        <w:rPr/>
      </w:pPr>
    </w:p>
    <w:sectPr/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roman"/>
    <w:pitch w:val="variable"/>
    <w:sig w:usb0="61002a87" w:usb1="80000000" w:usb2="00000008" w:usb3="00000000" w:csb0="000001ff" w:csb1="00000000"/>
  </w:font>
  <w:font w:name="Verdana">
    <w:panose1 w:val="020b0604030504040204"/>
    <w:charset w:val="00"/>
    <w:family w:val="roman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notTrueType w:val="on"/>
    <w:pitch w:val="variable"/>
  </w:font>
  <w:font w:name="Wingdings">
    <w:panose1 w:val="05000000000000000000"/>
    <w:charset w:val="02"/>
    <w:family w:val="auto"/>
    <w:notTrueType w:val="on"/>
    <w:pitch w:val="variable"/>
  </w:font>
  <w:font w:name="Helvetica Neue">
    <w:charset w:val="00"/>
    <w:family w:val="swiss"/>
    <w:pitch w:val="variable"/>
  </w:font>
  <w:font w:name="Calibri Light"/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="http://schemas.openxmlformats.org/wordprocessingml/2006/main">
  <w:footnote w:id="0">
    <w:p>
      <w:pPr>
        <w:pStyle w:val="Footnotetext"/>
        <w:rPr/>
      </w:pPr>
      <w:r>
        <w:rPr>
          <w:rStyle w:val="Footnotereference"/>
        </w:rPr>
        <w:footnoteRef/>
      </w:r>
      <w:r>
        <w:t xml:space="preserve"> </w:t>
      </w:r>
      <w:r>
        <w:rPr>
          <w:rFonts w:ascii="Times New Roman" w:cs="Times New Roman" w:hAnsi="Times New Roman"/>
        </w:rPr>
        <w:t>по итогам мониторинга официальных сайтов ОО в период с 1 по 31 мая 2018 г.</w:t>
      </w:r>
    </w:p>
  </w:footnote>
  <w:footnote w:id="1">
    <w:p>
      <w:pPr>
        <w:pStyle w:val="Footnotetext"/>
        <w:rPr/>
      </w:pPr>
      <w:r>
        <w:rPr>
          <w:rStyle w:val="Footnotereference"/>
        </w:rPr>
        <w:footnoteRef/>
      </w:r>
      <w:r>
        <w:t xml:space="preserve"> </w:t>
      </w:r>
      <w:r>
        <w:rPr>
          <w:rFonts w:ascii="Times New Roman" w:cs="Times New Roman" w:hAnsi="Times New Roman"/>
        </w:rPr>
        <w:t>по итогам мониторинга официальных сайтов ОО в период с 1 по 31 мая 2018 г.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="http://schemas.openxmlformats.org/wordprocessingml/2006/main">
  <w:abstractNum w:abstractNumId="0">
    <w:multiLevelType w:val="hybridMultilevel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/>
        <w:b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multiLevelType w:val="multilevel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ompat>
    <w:compatSetting w:name="compatibilityMode" w:uri="http://schemas.microsoft.com/office/word" w:val="14"/>
  </w:compat>
  <w:footnotePr/>
  <w:endnotePr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Ascii" w:eastAsiaTheme="minorEastAsia" w:hAnsiTheme="minorBidi"/>
        <w:sz w:val="22"/>
      </w:rPr>
    </w:rPrDefault>
    <w:pPrDefault>
      <w:pPr>
        <w:spacing w:after="200" w:line="276" w:lineRule="auto"/>
      </w:pPr>
    </w:pPrDefault>
  </w:docDefaults>
  <w:style w:type="paragraph" w:default="1" w:styleId="Normal">
    <w:name w:val="Normal"/>
    <w:uiPriority w:val="0"/>
    <w:qFormat w:val="on"/>
  </w:style>
  <w:style w:type="paragraph" w:styleId="Heading1">
    <w:name w:val="Heading 1"/>
    <w:basedOn w:val="Normal"/>
    <w:next w:val="Normal"/>
    <w:link w:val="Heading1Char"/>
    <w:uiPriority w:val="9"/>
    <w:qFormat w:val="on"/>
    <w:pPr>
      <w:keepNext w:val="on"/>
      <w:keepLines w:val="on"/>
      <w:spacing w:before="480" w:after="0"/>
    </w:pPr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 w:val="on"/>
    <w:unhideWhenUsed w:val="on"/>
    <w:unhideWhenUsed w:val="on"/>
  </w:style>
  <w:style w:type="table" w:default="1" w:styleId="NormalTable">
    <w:name w:val="Normal Table"/>
    <w:uiPriority w:val="99"/>
    <w:semiHidden w:val="on"/>
    <w:unhideWhenUsed w:val="on"/>
    <w:qFormat w:val="on"/>
    <w:unhideWhenUsed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 w:val="on"/>
    <w:unhideWhenUsed w:val="on"/>
    <w:unhideWhenUsed w:val="on"/>
  </w:style>
  <w:style w:type="paragraph" w:styleId="NoSpacing">
    <w:name w:val="No Spacing"/>
    <w:uiPriority w:val="1"/>
    <w:qFormat w:val="on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cstheme="majorBidi" w:eastAsiaTheme="majorEastAsia" w:hAnsiTheme="majorHAns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cstheme="majorBidi" w:eastAsiaTheme="majorEastAsia" w:hAnsiTheme="majorHAnsi"/>
      <w:color w:val="1f3763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 w:val="on"/>
    <w:pPr>
      <w:pBdr>
        <w:bottom w:val="single" w:color="4472c4" w:themeColor="accent1" w:sz="8" w:space="4"/>
      </w:pBdr>
      <w:spacing w:after="300" w:line="240" w:lineRule="auto"/>
      <w:contextualSpacing w:val="on"/>
    </w:pPr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 w:val="on"/>
    <w:pPr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 w:val="on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 w:val="on"/>
    <w:rPr>
      <w:i/>
      <w:iCs/>
    </w:rPr>
  </w:style>
  <w:style w:type="character" w:styleId="IntenseEmphasis">
    <w:name w:val="Intense Emphasis"/>
    <w:basedOn w:val="DefaultParagraphFont"/>
    <w:uiPriority w:val="21"/>
    <w:qFormat w:val="on"/>
    <w:rPr>
      <w:b/>
      <w:bCs/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 w:val="on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 w:val="on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 w:val="on"/>
    <w:pPr>
      <w:pBdr>
        <w:bottom w:val="single" w:color="4472c4" w:themeColor="accent1" w:sz="4" w:space="4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 w:val="on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on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on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 w:val="on"/>
    <w:pPr>
      <w:ind w:left="720"/>
      <w:contextualSpacing w:val="on"/>
    </w:pPr>
  </w:style>
  <w:style w:type="paragraph" w:styleId="Footnotetext">
    <w:name w:val="Footnote text"/>
    <w:basedOn w:val="Normal"/>
    <w:link w:val="FootnoteTextChar"/>
    <w:uiPriority w:val="99"/>
    <w:semiHidden w:val="on"/>
    <w:unhideWhenUsed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 w:val="on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on"/>
    <w:unhideWhenUsed w:val="on"/>
    <w:unhideWhenUsed w:val="on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 w:val="on"/>
    <w:unhideWhenUsed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 w:val="on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 w:val="on"/>
    <w:unhideWhenUsed w:val="on"/>
    <w:unhideWhenUsed w:val="on"/>
    <w:rPr>
      <w:vertAlign w:val="superscript"/>
    </w:rPr>
  </w:style>
  <w:style w:type="character" w:styleId="Hyperlink">
    <w:name w:val="Hyperlink"/>
    <w:basedOn w:val="DefaultParagraphFont"/>
    <w:uiPriority w:val="99"/>
    <w:unhideWhenUsed w:val="on"/>
    <w:unhideWhenUsed w:val="on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 w:val="on"/>
    <w:unhideWhenUsed w:val="on"/>
    <w:unhideWhenUsed w:val="on"/>
    <w:pPr>
      <w:spacing w:after="0" w:line="240" w:lineRule="auto"/>
    </w:pPr>
    <w:rPr>
      <w:rFonts w:ascii="Courier New" w:cs="Courier New" w:hAnsi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cs="Courier New" w:hAnsi="Courier New"/>
      <w:sz w:val="21"/>
      <w:szCs w:val="21"/>
    </w:rPr>
  </w:style>
  <w:style w:type="paragraph" w:styleId="Header">
    <w:name w:val="Header"/>
    <w:basedOn w:val="Normal"/>
    <w:link w:val="HeaderChar"/>
    <w:uiPriority w:val="99"/>
    <w:unhideWhenUsed w:val="on"/>
    <w:unhideWhenUsed w:val="on"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on"/>
    <w:unhideWhenUsed w:val="on"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numbering" Target="numbering.xml"/><Relationship Id="rId5" Type="http://schemas.openxmlformats.org/officeDocument/2006/relationships/footnotes" Target="footnotes.xml"/><Relationship Id="rId6" Type="http://schemas.openxmlformats.org/officeDocument/2006/relationships/image" Target="media/image1.emf"/><Relationship Id="rId7" Type="http://schemas.openxmlformats.org/officeDocument/2006/relationships/image" Target="media/image2.wmf"/><Relationship Id="rId8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Microsoft Office Word</Application>
  <AppVersion>14.000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Дарима С</dc:creator>
  <cp:lastModifiedBy>Дарима С</cp:lastModifiedBy>
</cp:coreProperties>
</file>